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79EB8">
      <w:pPr>
        <w:pStyle w:val="2"/>
        <w:widowControl w:val="0"/>
        <w:spacing w:before="100" w:after="0" w:line="360" w:lineRule="auto"/>
        <w:jc w:val="both"/>
        <w:rPr>
          <w:rFonts w:ascii="宋体" w:hAnsi="宋体" w:eastAsia="宋体" w:cs="宋体"/>
          <w:kern w:val="2"/>
          <w:sz w:val="28"/>
        </w:rPr>
      </w:pPr>
      <w:bookmarkStart w:id="0" w:name="_Toc20718"/>
      <w:bookmarkStart w:id="1" w:name="_Toc10346"/>
      <w:bookmarkStart w:id="2" w:name="_Toc7920"/>
      <w:bookmarkStart w:id="3" w:name="_Toc9372"/>
      <w:r>
        <w:rPr>
          <w:rFonts w:hint="eastAsia" w:ascii="宋体" w:hAnsi="宋体" w:eastAsia="宋体" w:cs="宋体"/>
          <w:kern w:val="2"/>
          <w:sz w:val="28"/>
        </w:rPr>
        <w:t>附件1：招标公告附表</w:t>
      </w:r>
      <w:bookmarkEnd w:id="0"/>
      <w:bookmarkEnd w:id="1"/>
      <w:bookmarkEnd w:id="2"/>
      <w:bookmarkEnd w:id="3"/>
    </w:p>
    <w:tbl>
      <w:tblPr>
        <w:tblStyle w:val="5"/>
        <w:tblW w:w="492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862"/>
        <w:gridCol w:w="802"/>
        <w:gridCol w:w="1482"/>
        <w:gridCol w:w="749"/>
        <w:gridCol w:w="818"/>
        <w:gridCol w:w="810"/>
        <w:gridCol w:w="3844"/>
        <w:gridCol w:w="896"/>
        <w:gridCol w:w="750"/>
        <w:gridCol w:w="1112"/>
        <w:gridCol w:w="724"/>
        <w:gridCol w:w="536"/>
      </w:tblGrid>
      <w:tr w14:paraId="18BC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C2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273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包件号</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42E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包件名称</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5C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物资设备名称</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9F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6B8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计量单位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C3F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5E0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资格条件</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EF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交货时间</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734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交货地点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23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交货条件及状态</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A34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收货单位</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9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7A290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9"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1D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378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DC</w:t>
            </w:r>
            <w:r>
              <w:rPr>
                <w:rFonts w:hint="eastAsia" w:ascii="宋体" w:hAnsi="宋体" w:cs="宋体"/>
                <w:i w:val="0"/>
                <w:iCs w:val="0"/>
                <w:color w:val="000000"/>
                <w:kern w:val="0"/>
                <w:sz w:val="21"/>
                <w:szCs w:val="21"/>
                <w:u w:val="none"/>
                <w:lang w:val="en-US" w:eastAsia="zh-CN" w:bidi="ar"/>
              </w:rPr>
              <w:t>11</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245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rPr>
              <w:t>受电弓滑板监测装置</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F4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受电弓滑板监测装置（5C）</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B02B">
            <w:pPr>
              <w:jc w:val="center"/>
              <w:rPr>
                <w:rFonts w:hint="eastAsia" w:ascii="宋体" w:hAnsi="宋体" w:eastAsia="宋体" w:cs="宋体"/>
                <w:i w:val="0"/>
                <w:iCs w:val="0"/>
                <w:color w:val="000000"/>
                <w:sz w:val="21"/>
                <w:szCs w:val="21"/>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AE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27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A74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1.在中华人民共和国境内依法注册，具有法人资格的制造商；</w:t>
            </w:r>
          </w:p>
          <w:p w14:paraId="3DD458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2.投标人须提供2023年以来任意一年经会计师事务所或审计机构审计的财务会计报表复印件（包括资产负债表、现金流量表、利润表）。投标人的成立时间少于投标人须知前附表规定年份的应提供成立以来的财务状况表；</w:t>
            </w:r>
          </w:p>
          <w:p w14:paraId="29080126">
            <w:pPr>
              <w:keepNext w:val="0"/>
              <w:keepLines w:val="0"/>
              <w:widowControl/>
              <w:suppressLineNumbers w:val="0"/>
              <w:jc w:val="left"/>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3.投标人须提供受电弓滑板监测装置（5C）(双线或单线）、近五年（自2021年7月至递交报价文件截止日，以合同签订时间为准）的铁路供货业绩，并提供相应的中标通知书、供货合同、材料进场验收证书（或验收文件或用户使用证明等）</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4E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2026年</w:t>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月至工程结束</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E1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石雄铁路动车所工地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132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完好、车板交货</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8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中铁电气化局</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FA96">
            <w:pPr>
              <w:jc w:val="center"/>
              <w:rPr>
                <w:rFonts w:hint="eastAsia" w:ascii="宋体" w:hAnsi="宋体" w:eastAsia="宋体" w:cs="宋体"/>
                <w:i w:val="0"/>
                <w:iCs w:val="0"/>
                <w:color w:val="000000"/>
                <w:sz w:val="21"/>
                <w:szCs w:val="21"/>
                <w:u w:val="none"/>
              </w:rPr>
            </w:pPr>
          </w:p>
        </w:tc>
      </w:tr>
      <w:tr w14:paraId="4D65A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C08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DEA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包件号</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59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包件名称</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D8D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物资设备名称</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82E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F90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计量单位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80A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2A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资格条件</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534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交货时间</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5DD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交货地点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E8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交货条件及状态</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6F5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收货单位</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EB8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608DF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2"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B0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44C3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DC</w:t>
            </w:r>
            <w:r>
              <w:rPr>
                <w:rFonts w:hint="eastAsia" w:ascii="宋体" w:hAnsi="宋体" w:cs="宋体"/>
                <w:i w:val="0"/>
                <w:iCs w:val="0"/>
                <w:color w:val="000000"/>
                <w:kern w:val="0"/>
                <w:sz w:val="21"/>
                <w:szCs w:val="21"/>
                <w:u w:val="none"/>
                <w:lang w:val="en-US" w:eastAsia="zh-CN" w:bidi="ar"/>
              </w:rPr>
              <w:t>12</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9671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rPr>
              <w:t>信息系统设备</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B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信息系统设备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4F6D7">
            <w:pPr>
              <w:jc w:val="center"/>
              <w:rPr>
                <w:rFonts w:hint="eastAsia" w:ascii="宋体" w:hAnsi="宋体" w:eastAsia="宋体" w:cs="宋体"/>
                <w:i w:val="0"/>
                <w:iCs w:val="0"/>
                <w:color w:val="000000"/>
                <w:sz w:val="21"/>
                <w:szCs w:val="21"/>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9E88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套</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47A2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551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1.在中华人民共和国境内依法注册，具有法人资格的制造商；</w:t>
            </w:r>
          </w:p>
          <w:p w14:paraId="3710C5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2.投标人须提供2023年以来任意一年经会计师事务所或审计机构审计的财务会计报表复印件（包括资产负债表、现金流量表、利润表）。投标人的成立时间少于投标人须知前附表规定年份的应提供成立以来的财务状况表；</w:t>
            </w:r>
          </w:p>
          <w:p w14:paraId="0A2699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3.投标人须提供信息系统设备，近五年（自2021年7月至递交报价文件截止日，以合同签订时间为准）的动车段（所）供货业绩，并提供相应的中标通知书、供货合同、材料进场验收证书（或验收文件或用户使用证明等）；</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B2B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2026年</w:t>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月至工程结束</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306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石雄铁路动车所工地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B2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完好、车板交货</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1B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中铁电气化局</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386F">
            <w:pPr>
              <w:jc w:val="center"/>
              <w:rPr>
                <w:rFonts w:hint="eastAsia" w:ascii="宋体" w:hAnsi="宋体" w:eastAsia="宋体" w:cs="宋体"/>
                <w:i w:val="0"/>
                <w:iCs w:val="0"/>
                <w:color w:val="000000"/>
                <w:sz w:val="21"/>
                <w:szCs w:val="21"/>
                <w:u w:val="none"/>
              </w:rPr>
            </w:pPr>
          </w:p>
        </w:tc>
      </w:tr>
    </w:tbl>
    <w:p w14:paraId="04D4F015">
      <w:pPr>
        <w:pStyle w:val="3"/>
        <w:rPr>
          <w:rFonts w:ascii="宋体" w:hAnsi="宋体" w:cs="宋体"/>
        </w:rPr>
      </w:pPr>
    </w:p>
    <w:p w14:paraId="3031DBF0">
      <w:pPr>
        <w:pStyle w:val="3"/>
        <w:rPr>
          <w:rFonts w:ascii="宋体" w:hAnsi="宋体" w:cs="宋体"/>
        </w:rPr>
        <w:sectPr>
          <w:footerReference r:id="rId6" w:type="first"/>
          <w:footerReference r:id="rId5" w:type="default"/>
          <w:pgSz w:w="16838" w:h="11906" w:orient="landscape"/>
          <w:pgMar w:top="1080" w:right="1440" w:bottom="1080" w:left="1440" w:header="851" w:footer="992" w:gutter="0"/>
          <w:pgBorders>
            <w:top w:val="none" w:sz="0" w:space="0"/>
            <w:left w:val="none" w:sz="0" w:space="0"/>
            <w:bottom w:val="none" w:sz="0" w:space="0"/>
            <w:right w:val="none" w:sz="0" w:space="0"/>
          </w:pgBorders>
          <w:pgNumType w:fmt="decimal"/>
          <w:cols w:space="425" w:num="1"/>
          <w:docGrid w:linePitch="312" w:charSpace="0"/>
        </w:sectPr>
      </w:pPr>
    </w:p>
    <w:p w14:paraId="03CF60A1">
      <w:pPr>
        <w:pStyle w:val="2"/>
        <w:widowControl w:val="0"/>
        <w:spacing w:before="100" w:after="0" w:line="360" w:lineRule="auto"/>
        <w:jc w:val="both"/>
        <w:rPr>
          <w:rFonts w:ascii="宋体" w:hAnsi="宋体" w:eastAsia="宋体" w:cs="宋体"/>
          <w:kern w:val="2"/>
          <w:sz w:val="28"/>
        </w:rPr>
      </w:pPr>
      <w:bookmarkStart w:id="4" w:name="_Toc501460596"/>
      <w:bookmarkStart w:id="5" w:name="_Toc6373"/>
      <w:bookmarkStart w:id="6" w:name="_Toc7358"/>
      <w:bookmarkStart w:id="7" w:name="_Toc3598"/>
      <w:bookmarkStart w:id="8" w:name="_Toc14972"/>
      <w:r>
        <w:rPr>
          <w:rFonts w:hint="eastAsia" w:ascii="宋体" w:hAnsi="宋体" w:eastAsia="宋体" w:cs="宋体"/>
          <w:kern w:val="2"/>
          <w:sz w:val="28"/>
        </w:rPr>
        <w:t>附件2：</w:t>
      </w:r>
      <w:bookmarkEnd w:id="4"/>
      <w:r>
        <w:rPr>
          <w:rFonts w:hint="eastAsia" w:ascii="宋体" w:hAnsi="宋体" w:eastAsia="宋体" w:cs="宋体"/>
          <w:kern w:val="2"/>
          <w:sz w:val="28"/>
        </w:rPr>
        <w:t>支付方式</w:t>
      </w:r>
      <w:bookmarkEnd w:id="5"/>
      <w:bookmarkEnd w:id="6"/>
      <w:bookmarkEnd w:id="7"/>
      <w:bookmarkEnd w:id="8"/>
    </w:p>
    <w:p w14:paraId="45BABD2E">
      <w:pPr>
        <w:widowControl/>
        <w:wordWrap w:val="0"/>
        <w:ind w:firstLine="420" w:firstLineChars="200"/>
        <w:jc w:val="left"/>
        <w:rPr>
          <w:rFonts w:ascii="宋体" w:hAnsi="宋体" w:cs="宋体"/>
          <w:szCs w:val="21"/>
        </w:rPr>
      </w:pPr>
    </w:p>
    <w:p w14:paraId="27F86C7F">
      <w:pPr>
        <w:widowControl/>
        <w:wordWrap w:val="0"/>
        <w:spacing w:line="480" w:lineRule="auto"/>
        <w:ind w:firstLine="420" w:firstLineChars="200"/>
        <w:jc w:val="left"/>
        <w:rPr>
          <w:rFonts w:ascii="宋体" w:hAnsi="宋体" w:cs="宋体"/>
          <w:szCs w:val="21"/>
        </w:rPr>
      </w:pPr>
      <w:r>
        <w:rPr>
          <w:rFonts w:hint="eastAsia" w:ascii="宋体" w:hAnsi="宋体" w:cs="宋体"/>
          <w:szCs w:val="21"/>
        </w:rPr>
        <w:t>投标人须在招标文件发售期间通过中铁物总国际招标平台（https://bids.crmsc.com.cn/）完成汇款（具体缴费流程可咨询招标代理人员15131159711）。完成相应包件支付后，将“汇款凭证”上传至</w:t>
      </w:r>
      <w:r>
        <w:rPr>
          <w:rFonts w:hint="eastAsia" w:ascii="宋体" w:hAnsi="宋体" w:cs="宋体"/>
          <w:szCs w:val="21"/>
          <w:lang w:eastAsia="zh-CN"/>
        </w:rPr>
        <w:t>北京市公共资源交易服务平台</w:t>
      </w:r>
      <w:r>
        <w:rPr>
          <w:rFonts w:hint="eastAsia" w:ascii="宋体" w:hAnsi="宋体" w:cs="宋体"/>
          <w:szCs w:val="21"/>
        </w:rPr>
        <w:t>，通过</w:t>
      </w:r>
      <w:r>
        <w:rPr>
          <w:rFonts w:hint="eastAsia" w:ascii="宋体" w:hAnsi="宋体" w:cs="宋体"/>
          <w:szCs w:val="21"/>
          <w:lang w:eastAsia="zh-CN"/>
        </w:rPr>
        <w:t>北京市公共资源交易服务平台</w:t>
      </w:r>
      <w:r>
        <w:rPr>
          <w:rFonts w:hint="eastAsia" w:ascii="宋体" w:hAnsi="宋体" w:cs="宋体"/>
          <w:szCs w:val="21"/>
        </w:rPr>
        <w:t>下载招标文件（电子版）。</w:t>
      </w:r>
    </w:p>
    <w:p w14:paraId="0DAB405E">
      <w:pPr>
        <w:widowControl/>
        <w:jc w:val="left"/>
        <w:rPr>
          <w:rFonts w:ascii="宋体" w:hAnsi="宋体" w:cs="宋体"/>
          <w:szCs w:val="21"/>
        </w:rPr>
      </w:pPr>
    </w:p>
    <w:p w14:paraId="7DD116BC">
      <w:pPr>
        <w:widowControl/>
        <w:jc w:val="left"/>
        <w:rPr>
          <w:rFonts w:ascii="宋体" w:hAnsi="宋体" w:cs="宋体"/>
          <w:szCs w:val="21"/>
        </w:rPr>
      </w:pPr>
    </w:p>
    <w:p w14:paraId="59622888">
      <w:pPr>
        <w:widowControl/>
        <w:jc w:val="left"/>
        <w:rPr>
          <w:rFonts w:ascii="宋体" w:hAnsi="宋体" w:cs="宋体"/>
          <w:szCs w:val="21"/>
        </w:rPr>
      </w:pPr>
      <w:r>
        <w:rPr>
          <w:rFonts w:hint="eastAsia" w:ascii="宋体" w:hAnsi="宋体" w:cs="宋体"/>
          <w:szCs w:val="21"/>
        </w:rPr>
        <w:t>代理机构：中铁物总国际招标有限公司</w:t>
      </w:r>
    </w:p>
    <w:p w14:paraId="25B9CD96">
      <w:pPr>
        <w:widowControl/>
        <w:jc w:val="left"/>
        <w:rPr>
          <w:rFonts w:ascii="宋体" w:hAnsi="宋体" w:cs="宋体"/>
          <w:szCs w:val="21"/>
        </w:rPr>
      </w:pPr>
      <w:r>
        <w:rPr>
          <w:rFonts w:hint="eastAsia" w:ascii="宋体" w:hAnsi="宋体" w:cs="宋体"/>
          <w:szCs w:val="21"/>
        </w:rPr>
        <w:t>地  址：北京市丰台区凤凰嘴街鼎兴大厦A座11层</w:t>
      </w:r>
    </w:p>
    <w:p w14:paraId="6410C7B6">
      <w:pPr>
        <w:widowControl/>
        <w:jc w:val="left"/>
        <w:rPr>
          <w:rFonts w:hint="default" w:ascii="宋体" w:hAnsi="宋体" w:eastAsia="宋体" w:cs="宋体"/>
          <w:szCs w:val="21"/>
          <w:lang w:val="en-US" w:eastAsia="zh-CN"/>
        </w:rPr>
      </w:pPr>
      <w:r>
        <w:rPr>
          <w:rFonts w:hint="eastAsia" w:ascii="宋体" w:hAnsi="宋体" w:cs="宋体"/>
          <w:szCs w:val="21"/>
        </w:rPr>
        <w:t>联系人：刘宗凯</w:t>
      </w:r>
      <w:r>
        <w:rPr>
          <w:rFonts w:hint="eastAsia" w:ascii="宋体" w:hAnsi="宋体" w:cs="宋体"/>
          <w:szCs w:val="21"/>
          <w:lang w:eastAsia="zh-CN"/>
        </w:rPr>
        <w:t>、</w:t>
      </w:r>
      <w:r>
        <w:rPr>
          <w:rFonts w:hint="eastAsia" w:ascii="宋体" w:hAnsi="宋体" w:cs="宋体"/>
          <w:szCs w:val="21"/>
          <w:lang w:val="en-US" w:eastAsia="zh-CN"/>
        </w:rPr>
        <w:t>张帅</w:t>
      </w:r>
    </w:p>
    <w:p w14:paraId="72CA713F">
      <w:pPr>
        <w:widowControl/>
        <w:jc w:val="left"/>
        <w:rPr>
          <w:rFonts w:hint="eastAsia" w:ascii="宋体" w:hAnsi="宋体" w:eastAsia="宋体" w:cs="宋体"/>
          <w:szCs w:val="21"/>
          <w:lang w:eastAsia="zh-CN"/>
        </w:rPr>
      </w:pPr>
      <w:r>
        <w:rPr>
          <w:rFonts w:hint="eastAsia" w:ascii="宋体" w:hAnsi="宋体" w:cs="宋体"/>
          <w:szCs w:val="21"/>
        </w:rPr>
        <w:t>电  话：15131159711</w:t>
      </w:r>
      <w:r>
        <w:rPr>
          <w:rFonts w:hint="eastAsia" w:ascii="宋体" w:hAnsi="宋体" w:cs="宋体"/>
          <w:szCs w:val="21"/>
          <w:lang w:eastAsia="zh-CN"/>
        </w:rPr>
        <w:t>、15501286086</w:t>
      </w:r>
    </w:p>
    <w:p w14:paraId="5B677FD0">
      <w:pPr>
        <w:rPr>
          <w:rFonts w:ascii="宋体" w:hAnsi="宋体" w:cs="宋体"/>
          <w:sz w:val="44"/>
          <w:szCs w:val="44"/>
        </w:rPr>
      </w:pPr>
      <w:bookmarkStart w:id="9" w:name="_Toc156913271"/>
      <w:r>
        <w:rPr>
          <w:rFonts w:hint="eastAsia" w:ascii="宋体" w:hAnsi="宋体" w:cs="宋体"/>
          <w:sz w:val="44"/>
          <w:szCs w:val="44"/>
        </w:rPr>
        <w:br w:type="page"/>
      </w:r>
    </w:p>
    <w:p w14:paraId="700B3990">
      <w:pPr>
        <w:pStyle w:val="2"/>
        <w:widowControl w:val="0"/>
        <w:spacing w:before="100" w:after="0" w:line="360" w:lineRule="auto"/>
        <w:jc w:val="both"/>
        <w:rPr>
          <w:rFonts w:hint="default" w:ascii="宋体" w:hAnsi="宋体" w:eastAsia="宋体" w:cs="宋体"/>
          <w:kern w:val="2"/>
          <w:sz w:val="28"/>
          <w:lang w:val="en-US" w:eastAsia="zh-CN"/>
        </w:rPr>
      </w:pPr>
      <w:bookmarkStart w:id="10" w:name="_Toc11336"/>
      <w:r>
        <w:rPr>
          <w:rFonts w:hint="eastAsia" w:ascii="宋体" w:hAnsi="宋体" w:eastAsia="宋体" w:cs="宋体"/>
          <w:kern w:val="2"/>
          <w:sz w:val="28"/>
          <w:lang w:val="en-US" w:eastAsia="zh-CN"/>
        </w:rPr>
        <w:t>附件3：异议提出方式</w:t>
      </w:r>
      <w:bookmarkEnd w:id="10"/>
    </w:p>
    <w:p w14:paraId="2C9F2734">
      <w:pPr>
        <w:spacing w:line="600" w:lineRule="exact"/>
        <w:jc w:val="center"/>
        <w:rPr>
          <w:rFonts w:ascii="宋体" w:hAnsi="宋体" w:cs="宋体"/>
          <w:sz w:val="44"/>
          <w:szCs w:val="44"/>
        </w:rPr>
      </w:pPr>
      <w:r>
        <w:rPr>
          <w:rFonts w:hint="eastAsia" w:ascii="宋体" w:hAnsi="宋体" w:cs="宋体"/>
          <w:sz w:val="44"/>
          <w:szCs w:val="44"/>
          <w:lang w:eastAsia="zh-CN"/>
        </w:rPr>
        <w:t>石家庄至雄安新区铁路改扩建石家庄动车所相关工程建管甲供物资2026年度第三批次</w:t>
      </w:r>
      <w:r>
        <w:rPr>
          <w:rFonts w:hint="eastAsia" w:ascii="宋体" w:hAnsi="宋体" w:cs="宋体"/>
          <w:sz w:val="44"/>
          <w:szCs w:val="44"/>
        </w:rPr>
        <w:t>（动车所设备）异议提出方式及主要内容</w:t>
      </w:r>
    </w:p>
    <w:p w14:paraId="70AFCB28">
      <w:pPr>
        <w:snapToGrid w:val="0"/>
        <w:rPr>
          <w:rFonts w:ascii="宋体" w:hAnsi="宋体" w:cs="宋体"/>
          <w:sz w:val="28"/>
          <w:szCs w:val="28"/>
        </w:rPr>
      </w:pPr>
    </w:p>
    <w:p w14:paraId="2311B27F">
      <w:pPr>
        <w:snapToGrid w:val="0"/>
        <w:ind w:left="567" w:leftChars="270"/>
        <w:rPr>
          <w:rFonts w:ascii="宋体" w:hAnsi="宋体" w:cs="宋体"/>
          <w:sz w:val="28"/>
          <w:szCs w:val="28"/>
        </w:rPr>
      </w:pPr>
      <w:r>
        <w:rPr>
          <w:rFonts w:hint="eastAsia" w:ascii="宋体" w:hAnsi="宋体" w:cs="宋体"/>
          <w:spacing w:val="140"/>
          <w:kern w:val="0"/>
          <w:sz w:val="28"/>
          <w:szCs w:val="28"/>
          <w:fitText w:val="3080" w:id="145756905"/>
        </w:rPr>
        <w:t>招标异议地</w:t>
      </w:r>
      <w:r>
        <w:rPr>
          <w:rFonts w:hint="eastAsia" w:ascii="宋体" w:hAnsi="宋体" w:cs="宋体"/>
          <w:spacing w:val="0"/>
          <w:kern w:val="0"/>
          <w:sz w:val="28"/>
          <w:szCs w:val="28"/>
          <w:fitText w:val="3080" w:id="145756905"/>
        </w:rPr>
        <w:t>址</w:t>
      </w:r>
      <w:r>
        <w:rPr>
          <w:rFonts w:hint="eastAsia" w:ascii="宋体" w:hAnsi="宋体" w:cs="宋体"/>
          <w:sz w:val="28"/>
          <w:szCs w:val="28"/>
        </w:rPr>
        <w:t>：河北省石家庄市新华路100号</w:t>
      </w:r>
    </w:p>
    <w:p w14:paraId="78F97A70">
      <w:pPr>
        <w:snapToGrid w:val="0"/>
        <w:ind w:left="567" w:leftChars="270"/>
        <w:rPr>
          <w:rFonts w:ascii="宋体" w:hAnsi="宋体" w:cs="宋体"/>
          <w:sz w:val="28"/>
          <w:szCs w:val="28"/>
        </w:rPr>
      </w:pPr>
      <w:r>
        <w:rPr>
          <w:rFonts w:hint="eastAsia" w:ascii="宋体" w:hAnsi="宋体" w:cs="宋体"/>
          <w:spacing w:val="93"/>
          <w:kern w:val="0"/>
          <w:sz w:val="28"/>
          <w:szCs w:val="28"/>
          <w:fitText w:val="3080" w:id="630280409"/>
        </w:rPr>
        <w:t>招标异议联系</w:t>
      </w:r>
      <w:r>
        <w:rPr>
          <w:rFonts w:hint="eastAsia" w:ascii="宋体" w:hAnsi="宋体" w:cs="宋体"/>
          <w:spacing w:val="2"/>
          <w:kern w:val="0"/>
          <w:sz w:val="28"/>
          <w:szCs w:val="28"/>
          <w:fitText w:val="3080" w:id="630280409"/>
        </w:rPr>
        <w:t>人</w:t>
      </w:r>
      <w:r>
        <w:rPr>
          <w:rFonts w:hint="eastAsia" w:ascii="宋体" w:hAnsi="宋体" w:cs="宋体"/>
          <w:sz w:val="28"/>
          <w:szCs w:val="28"/>
        </w:rPr>
        <w:t>：温庆革</w:t>
      </w:r>
    </w:p>
    <w:p w14:paraId="15DB25C2">
      <w:pPr>
        <w:snapToGrid w:val="0"/>
        <w:ind w:left="567" w:leftChars="270"/>
        <w:rPr>
          <w:rFonts w:ascii="宋体" w:hAnsi="宋体" w:cs="宋体"/>
          <w:sz w:val="28"/>
          <w:szCs w:val="28"/>
        </w:rPr>
      </w:pPr>
      <w:r>
        <w:rPr>
          <w:rFonts w:hint="eastAsia" w:ascii="宋体" w:hAnsi="宋体" w:cs="宋体"/>
          <w:spacing w:val="140"/>
          <w:kern w:val="0"/>
          <w:sz w:val="28"/>
          <w:szCs w:val="28"/>
          <w:fitText w:val="3080" w:id="1886151358"/>
        </w:rPr>
        <w:t>招标异议电</w:t>
      </w:r>
      <w:r>
        <w:rPr>
          <w:rFonts w:hint="eastAsia" w:ascii="宋体" w:hAnsi="宋体" w:cs="宋体"/>
          <w:spacing w:val="0"/>
          <w:kern w:val="0"/>
          <w:sz w:val="28"/>
          <w:szCs w:val="28"/>
          <w:fitText w:val="3080" w:id="1886151358"/>
        </w:rPr>
        <w:t>话</w:t>
      </w:r>
      <w:r>
        <w:rPr>
          <w:rFonts w:hint="eastAsia" w:ascii="宋体" w:hAnsi="宋体" w:cs="宋体"/>
          <w:sz w:val="28"/>
          <w:szCs w:val="28"/>
        </w:rPr>
        <w:t>：0311-87922724、18931140149</w:t>
      </w:r>
    </w:p>
    <w:p w14:paraId="13443BC0">
      <w:pPr>
        <w:snapToGrid w:val="0"/>
        <w:ind w:left="567" w:leftChars="270"/>
        <w:rPr>
          <w:rFonts w:ascii="宋体" w:hAnsi="宋体" w:cs="宋体"/>
          <w:sz w:val="28"/>
          <w:szCs w:val="28"/>
        </w:rPr>
      </w:pPr>
      <w:r>
        <w:rPr>
          <w:rFonts w:hint="eastAsia" w:ascii="宋体" w:hAnsi="宋体" w:cs="宋体"/>
          <w:spacing w:val="7"/>
          <w:kern w:val="0"/>
          <w:sz w:val="28"/>
          <w:szCs w:val="28"/>
          <w:fitText w:val="3080" w:id="1024021046"/>
        </w:rPr>
        <w:t>招标异议联系传真/邮</w:t>
      </w:r>
      <w:r>
        <w:rPr>
          <w:rFonts w:hint="eastAsia" w:ascii="宋体" w:hAnsi="宋体" w:cs="宋体"/>
          <w:spacing w:val="3"/>
          <w:kern w:val="0"/>
          <w:sz w:val="28"/>
          <w:szCs w:val="28"/>
          <w:fitText w:val="3080" w:id="1024021046"/>
        </w:rPr>
        <w:t>箱</w:t>
      </w:r>
      <w:r>
        <w:rPr>
          <w:rFonts w:hint="eastAsia" w:ascii="宋体" w:hAnsi="宋体" w:cs="宋体"/>
          <w:sz w:val="28"/>
          <w:szCs w:val="28"/>
        </w:rPr>
        <w:t>：sjzxmbwzb@163.com</w:t>
      </w:r>
    </w:p>
    <w:p w14:paraId="3BB4F809">
      <w:pPr>
        <w:snapToGrid w:val="0"/>
        <w:rPr>
          <w:rFonts w:ascii="宋体" w:hAnsi="宋体" w:cs="宋体"/>
          <w:sz w:val="28"/>
          <w:szCs w:val="28"/>
        </w:rPr>
      </w:pPr>
    </w:p>
    <w:p w14:paraId="289C4F75">
      <w:pPr>
        <w:snapToGrid w:val="0"/>
        <w:ind w:firstLine="560" w:firstLineChars="200"/>
        <w:rPr>
          <w:rFonts w:ascii="宋体" w:hAnsi="宋体" w:cs="宋体"/>
          <w:sz w:val="28"/>
          <w:szCs w:val="28"/>
        </w:rPr>
      </w:pPr>
      <w:r>
        <w:rPr>
          <w:rFonts w:hint="eastAsia" w:ascii="宋体" w:hAnsi="宋体" w:cs="宋体"/>
          <w:sz w:val="28"/>
          <w:szCs w:val="28"/>
        </w:rPr>
        <w:t>异议函件应包括以下主要内容:</w:t>
      </w:r>
    </w:p>
    <w:p w14:paraId="0FA0FB59">
      <w:pPr>
        <w:snapToGrid w:val="0"/>
        <w:ind w:firstLine="560" w:firstLineChars="200"/>
        <w:rPr>
          <w:rFonts w:ascii="宋体" w:hAnsi="宋体" w:cs="宋体"/>
          <w:sz w:val="28"/>
          <w:szCs w:val="28"/>
        </w:rPr>
      </w:pPr>
      <w:r>
        <w:rPr>
          <w:rFonts w:hint="eastAsia" w:ascii="宋体" w:hAnsi="宋体" w:cs="宋体"/>
          <w:sz w:val="28"/>
          <w:szCs w:val="28"/>
        </w:rPr>
        <w:t>（一）异议人的名称、地址、联系人及联系电话、电子邮箱等有效联系方式；</w:t>
      </w:r>
    </w:p>
    <w:p w14:paraId="2DD72F85">
      <w:pPr>
        <w:snapToGrid w:val="0"/>
        <w:ind w:firstLine="560" w:firstLineChars="200"/>
        <w:rPr>
          <w:rFonts w:ascii="宋体" w:hAnsi="宋体" w:cs="宋体"/>
          <w:sz w:val="28"/>
          <w:szCs w:val="28"/>
        </w:rPr>
      </w:pPr>
      <w:r>
        <w:rPr>
          <w:rFonts w:hint="eastAsia" w:ascii="宋体" w:hAnsi="宋体" w:cs="宋体"/>
          <w:sz w:val="28"/>
          <w:szCs w:val="28"/>
        </w:rPr>
        <w:t>（二）异议事项涉及的项目名称、基本事实及相关证明材料；</w:t>
      </w:r>
    </w:p>
    <w:p w14:paraId="3346BEE9">
      <w:pPr>
        <w:snapToGrid w:val="0"/>
        <w:ind w:firstLine="560" w:firstLineChars="200"/>
        <w:rPr>
          <w:rFonts w:ascii="宋体" w:hAnsi="宋体" w:cs="宋体"/>
          <w:sz w:val="28"/>
          <w:szCs w:val="28"/>
        </w:rPr>
      </w:pPr>
      <w:r>
        <w:rPr>
          <w:rFonts w:hint="eastAsia" w:ascii="宋体" w:hAnsi="宋体" w:cs="宋体"/>
          <w:sz w:val="28"/>
          <w:szCs w:val="28"/>
        </w:rPr>
        <w:t>（三）异议请求及主张；</w:t>
      </w:r>
    </w:p>
    <w:p w14:paraId="3C16AFF6">
      <w:pPr>
        <w:snapToGrid w:val="0"/>
        <w:ind w:firstLine="560" w:firstLineChars="200"/>
        <w:rPr>
          <w:rFonts w:ascii="宋体" w:hAnsi="宋体" w:cs="宋体"/>
          <w:sz w:val="28"/>
          <w:szCs w:val="28"/>
        </w:rPr>
      </w:pPr>
      <w:r>
        <w:rPr>
          <w:rFonts w:hint="eastAsia" w:ascii="宋体" w:hAnsi="宋体" w:cs="宋体"/>
          <w:sz w:val="28"/>
          <w:szCs w:val="28"/>
        </w:rPr>
        <w:t>（四）异议人应提供与物资采购活动存在利害关系的证明材料；</w:t>
      </w:r>
    </w:p>
    <w:p w14:paraId="4D693680">
      <w:pPr>
        <w:snapToGrid w:val="0"/>
        <w:ind w:firstLine="560" w:firstLineChars="200"/>
        <w:rPr>
          <w:rFonts w:ascii="宋体" w:hAnsi="宋体" w:cs="宋体"/>
          <w:sz w:val="28"/>
          <w:szCs w:val="28"/>
        </w:rPr>
      </w:pPr>
      <w:r>
        <w:rPr>
          <w:rFonts w:hint="eastAsia" w:ascii="宋体" w:hAnsi="宋体" w:cs="宋体"/>
          <w:sz w:val="28"/>
          <w:szCs w:val="28"/>
        </w:rPr>
        <w:t>（五）异议函件有关材料是外文的，异议人应同时提供其中文译本，并附相关的真实性证明；</w:t>
      </w:r>
    </w:p>
    <w:p w14:paraId="585CA6F0">
      <w:pPr>
        <w:snapToGrid w:val="0"/>
        <w:ind w:firstLine="560" w:firstLineChars="200"/>
        <w:rPr>
          <w:rFonts w:ascii="宋体" w:hAnsi="宋体" w:cs="宋体"/>
          <w:sz w:val="28"/>
          <w:szCs w:val="28"/>
        </w:rPr>
      </w:pPr>
      <w:r>
        <w:rPr>
          <w:rFonts w:hint="eastAsia" w:ascii="宋体" w:hAnsi="宋体" w:cs="宋体"/>
          <w:sz w:val="28"/>
          <w:szCs w:val="28"/>
        </w:rPr>
        <w:t>（六）异议人已向有关行政监督部门投诉并被受理的应一并说明。</w:t>
      </w:r>
    </w:p>
    <w:p w14:paraId="757D283D">
      <w:pPr>
        <w:snapToGrid w:val="0"/>
        <w:ind w:firstLine="560" w:firstLineChars="200"/>
        <w:rPr>
          <w:rFonts w:ascii="宋体" w:hAnsi="宋体" w:cs="宋体"/>
          <w:sz w:val="28"/>
          <w:szCs w:val="28"/>
        </w:rPr>
      </w:pPr>
      <w:r>
        <w:rPr>
          <w:rFonts w:hint="eastAsia" w:ascii="宋体" w:hAnsi="宋体" w:cs="宋体"/>
          <w:sz w:val="28"/>
          <w:szCs w:val="28"/>
        </w:rPr>
        <w:t>异议人为法人或非法人组织的，异议函件需由其法定代表人(负责人)或授权代表签字，加盖单位公章，并附授权书、营业执照等证明文件复印件、法定代表人(负责人)和授权代表人的有效身份证明复印件。异议人为自然人的，异议函件必须由异议人本人签字，并附有效身份证明复印件。</w:t>
      </w:r>
      <w:bookmarkEnd w:id="9"/>
    </w:p>
    <w:p w14:paraId="0185E851">
      <w:bookmarkStart w:id="11" w:name="_GoBack"/>
      <w:bookmarkEnd w:id="1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8BFB1">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27945">
                          <w:pPr>
                            <w:pStyle w:val="4"/>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3727945">
                    <w:pPr>
                      <w:pStyle w:val="4"/>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AB6AC">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2D4D2498">
                          <w:pPr>
                            <w:pStyle w:val="4"/>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4vdRNAAAAACAQAADwAAAAAAAAABACAAAAAiAAAAZHJzL2Rvd25yZXYueG1sUEsBAhQA&#10;FAAAAAgAh07iQKoV24r6AQAAAAQAAA4AAAAAAAAAAQAgAAAAHwEAAGRycy9lMm9Eb2MueG1sUEsF&#10;BgAAAAAGAAYAWQEAAIsFAAAAAA==&#10;">
              <v:fill on="f" focussize="0,0"/>
              <v:stroke on="f"/>
              <v:imagedata o:title=""/>
              <o:lock v:ext="edit" aspectratio="f"/>
              <v:textbox inset="0mm,0mm,0mm,0mm" style="mso-fit-shape-to-text:t;">
                <w:txbxContent>
                  <w:p w14:paraId="2D4D2498">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001D84"/>
    <w:rsid w:val="17001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1"/>
      <w:szCs w:val="22"/>
      <w:lang w:val="en-US" w:eastAsia="zh-CN" w:bidi="ar-SA"/>
    </w:rPr>
  </w:style>
  <w:style w:type="paragraph" w:styleId="2">
    <w:name w:val="heading 2"/>
    <w:basedOn w:val="1"/>
    <w:next w:val="1"/>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kern w:val="0"/>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widowControl/>
      <w:spacing w:after="120"/>
      <w:jc w:val="left"/>
    </w:pPr>
    <w:rPr>
      <w:rFonts w:cs="Times New Roman"/>
      <w:kern w:val="0"/>
    </w:rPr>
  </w:style>
  <w:style w:type="paragraph" w:styleId="4">
    <w:name w:val="footer"/>
    <w:basedOn w:val="1"/>
    <w:next w:val="1"/>
    <w:unhideWhenUsed/>
    <w:qFormat/>
    <w:uiPriority w:val="99"/>
    <w:pPr>
      <w:tabs>
        <w:tab w:val="center" w:pos="4153"/>
        <w:tab w:val="right" w:pos="8306"/>
      </w:tabs>
      <w:snapToGrid w:val="0"/>
      <w:spacing w:line="240" w:lineRule="auto"/>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2026-07-28T07:11:00Z</dcterms:created>
  <dc:creator>凯</dc:creator>
  <cp:lastModifiedBy>凯</cp:lastModifiedBy>
  <dcterms:modified xsi:type="dcterms:W3CDTF">2026-07-28T07:12:35Z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9339D24780E14F58840BC23FC9640E9C_11</vt:lpwstr>
  </property>
  <property fmtid="{D5CDD505-2E9C-101B-9397-08002B2CF9AE}" pid="4" name="KSOTemplateDocerSaveRecord">
    <vt:lpwstr>eyJoZGlkIjoiMDQwYzAzMDMwNTQ1OTZhYzIxMWFhYjI5NTEwMTUyODUiLCJ1c2VySWQiOiI1MDkyMjQ1MjAifQ==</vt:lpwstr>
  </property>
</Properties>
</file>